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bookmarkStart w:id="0" w:name="_GoBack"/>
      <w:bookmarkEnd w:id="0"/>
      <w:r>
        <w:rPr>
          <w:rFonts w:hint="eastAsia" w:ascii="仿宋_GB2312" w:eastAsia="仿宋_GB2312"/>
          <w:sz w:val="32"/>
          <w:szCs w:val="32"/>
        </w:rPr>
        <w:t>附件：8</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肇庆市建筑业协会五届十三次理事会审议表</w:t>
      </w:r>
    </w:p>
    <w:tbl>
      <w:tblPr>
        <w:tblStyle w:val="11"/>
        <w:tblW w:w="10100"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774"/>
        <w:gridCol w:w="1232"/>
        <w:gridCol w:w="122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92" w:type="dxa"/>
            <w:vMerge w:val="restart"/>
            <w:vAlign w:val="center"/>
          </w:tcPr>
          <w:p>
            <w:pPr>
              <w:spacing w:line="6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5774" w:type="dxa"/>
            <w:vMerge w:val="restart"/>
            <w:tcBorders>
              <w:right w:val="single" w:color="auto" w:sz="4" w:space="0"/>
            </w:tcBorders>
            <w:vAlign w:val="center"/>
          </w:tcPr>
          <w:p>
            <w:pPr>
              <w:spacing w:line="600" w:lineRule="exact"/>
              <w:jc w:val="center"/>
              <w:rPr>
                <w:rFonts w:ascii="黑体" w:hAnsi="黑体" w:eastAsia="黑体" w:cs="黑体"/>
                <w:sz w:val="28"/>
                <w:szCs w:val="28"/>
              </w:rPr>
            </w:pPr>
            <w:r>
              <w:rPr>
                <w:rFonts w:hint="eastAsia" w:ascii="黑体" w:hAnsi="黑体" w:eastAsia="黑体" w:cs="黑体"/>
                <w:sz w:val="28"/>
                <w:szCs w:val="28"/>
              </w:rPr>
              <w:t>审议内容</w:t>
            </w:r>
          </w:p>
        </w:tc>
        <w:tc>
          <w:tcPr>
            <w:tcW w:w="3534" w:type="dxa"/>
            <w:gridSpan w:val="3"/>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黑体" w:hAnsi="黑体" w:eastAsia="黑体" w:cs="黑体"/>
                <w:sz w:val="28"/>
                <w:szCs w:val="28"/>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792" w:type="dxa"/>
            <w:vMerge w:val="continue"/>
            <w:vAlign w:val="center"/>
          </w:tcPr>
          <w:p>
            <w:pPr>
              <w:spacing w:line="600" w:lineRule="exact"/>
              <w:jc w:val="center"/>
              <w:rPr>
                <w:rFonts w:ascii="黑体" w:hAnsi="黑体" w:eastAsia="黑体" w:cs="黑体"/>
                <w:sz w:val="28"/>
                <w:szCs w:val="28"/>
              </w:rPr>
            </w:pPr>
          </w:p>
        </w:tc>
        <w:tc>
          <w:tcPr>
            <w:tcW w:w="5774" w:type="dxa"/>
            <w:vMerge w:val="continue"/>
            <w:tcBorders>
              <w:right w:val="single" w:color="auto" w:sz="4" w:space="0"/>
            </w:tcBorders>
            <w:vAlign w:val="center"/>
          </w:tcPr>
          <w:p>
            <w:pPr>
              <w:spacing w:line="600" w:lineRule="exact"/>
              <w:jc w:val="center"/>
              <w:rPr>
                <w:rFonts w:ascii="黑体" w:hAnsi="黑体" w:eastAsia="黑体" w:cs="黑体"/>
                <w:sz w:val="28"/>
                <w:szCs w:val="28"/>
              </w:rPr>
            </w:pPr>
          </w:p>
        </w:tc>
        <w:tc>
          <w:tcPr>
            <w:tcW w:w="1232" w:type="dxa"/>
            <w:tcBorders>
              <w:top w:val="single" w:color="auto" w:sz="4" w:space="0"/>
              <w:left w:val="single" w:color="auto" w:sz="4" w:space="0"/>
              <w:bottom w:val="single" w:color="auto" w:sz="4" w:space="0"/>
              <w:right w:val="nil"/>
            </w:tcBorders>
            <w:vAlign w:val="bottom"/>
          </w:tcPr>
          <w:p>
            <w:pPr>
              <w:jc w:val="center"/>
              <w:rPr>
                <w:rFonts w:ascii="黑体" w:hAnsi="黑体" w:eastAsia="黑体" w:cs="黑体"/>
                <w:sz w:val="28"/>
                <w:szCs w:val="28"/>
              </w:rPr>
            </w:pPr>
            <w:r>
              <w:rPr>
                <w:rFonts w:hint="eastAsia" w:ascii="黑体" w:hAnsi="黑体" w:eastAsia="黑体" w:cs="黑体"/>
                <w:sz w:val="28"/>
                <w:szCs w:val="28"/>
              </w:rPr>
              <w:t>同意</w:t>
            </w:r>
          </w:p>
        </w:tc>
        <w:tc>
          <w:tcPr>
            <w:tcW w:w="1229" w:type="dxa"/>
            <w:tcBorders>
              <w:top w:val="single" w:color="auto" w:sz="4" w:space="0"/>
              <w:left w:val="single" w:color="auto" w:sz="4" w:space="0"/>
              <w:bottom w:val="single" w:color="auto" w:sz="4" w:space="0"/>
              <w:right w:val="nil"/>
            </w:tcBorders>
            <w:vAlign w:val="bottom"/>
          </w:tcPr>
          <w:p>
            <w:pPr>
              <w:jc w:val="center"/>
              <w:rPr>
                <w:rFonts w:ascii="黑体" w:hAnsi="黑体" w:eastAsia="黑体" w:cs="黑体"/>
                <w:sz w:val="28"/>
                <w:szCs w:val="28"/>
              </w:rPr>
            </w:pPr>
            <w:r>
              <w:rPr>
                <w:rFonts w:hint="eastAsia" w:ascii="黑体" w:hAnsi="黑体" w:eastAsia="黑体" w:cs="黑体"/>
                <w:sz w:val="28"/>
                <w:szCs w:val="28"/>
              </w:rPr>
              <w:t>不同意</w:t>
            </w:r>
          </w:p>
        </w:tc>
        <w:tc>
          <w:tcPr>
            <w:tcW w:w="1073" w:type="dxa"/>
            <w:tcBorders>
              <w:top w:val="single" w:color="auto" w:sz="4" w:space="0"/>
              <w:left w:val="single" w:color="auto" w:sz="4" w:space="0"/>
              <w:bottom w:val="single" w:color="auto" w:sz="4" w:space="0"/>
              <w:right w:val="single" w:color="auto" w:sz="4" w:space="0"/>
            </w:tcBorders>
            <w:vAlign w:val="bottom"/>
          </w:tcPr>
          <w:p>
            <w:pPr>
              <w:widowControl/>
              <w:jc w:val="center"/>
            </w:pPr>
            <w:r>
              <w:rPr>
                <w:rFonts w:hint="eastAsia" w:ascii="黑体" w:hAnsi="黑体" w:eastAsia="黑体" w:cs="黑体"/>
                <w:sz w:val="28"/>
                <w:szCs w:val="28"/>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1</w:t>
            </w:r>
          </w:p>
        </w:tc>
        <w:tc>
          <w:tcPr>
            <w:tcW w:w="5774" w:type="dxa"/>
            <w:tcBorders>
              <w:right w:val="single" w:color="auto" w:sz="4" w:space="0"/>
            </w:tcBorders>
            <w:vAlign w:val="center"/>
          </w:tcPr>
          <w:p>
            <w:pPr>
              <w:pStyle w:val="7"/>
              <w:widowControl/>
              <w:shd w:val="clear" w:color="auto" w:fill="FFFFFF"/>
              <w:spacing w:beforeAutospacing="0" w:afterAutospacing="0" w:line="50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审</w:t>
            </w:r>
            <w:r>
              <w:rPr>
                <w:rFonts w:hint="eastAsia" w:ascii="仿宋_GB2312" w:hAnsi="仿宋_GB2312" w:eastAsia="仿宋_GB2312" w:cs="仿宋_GB2312"/>
                <w:kern w:val="2"/>
                <w:sz w:val="28"/>
                <w:szCs w:val="28"/>
              </w:rPr>
              <w:t>议关于成立肇庆市建筑业协会绿色建造与装配式</w:t>
            </w:r>
            <w:r>
              <w:rPr>
                <w:rFonts w:hint="eastAsia" w:ascii="仿宋_GB2312" w:hAnsi="仿宋_GB2312" w:eastAsia="仿宋_GB2312" w:cs="仿宋_GB2312"/>
                <w:sz w:val="28"/>
                <w:szCs w:val="28"/>
              </w:rPr>
              <w:t>建筑分会的组织方案</w:t>
            </w:r>
          </w:p>
        </w:tc>
        <w:tc>
          <w:tcPr>
            <w:tcW w:w="1232"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229"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2</w:t>
            </w:r>
          </w:p>
        </w:tc>
        <w:tc>
          <w:tcPr>
            <w:tcW w:w="5774" w:type="dxa"/>
            <w:tcBorders>
              <w:right w:val="single" w:color="auto" w:sz="4" w:space="0"/>
            </w:tcBorders>
            <w:vAlign w:val="center"/>
          </w:tcPr>
          <w:p>
            <w:pPr>
              <w:pStyle w:val="7"/>
              <w:widowControl/>
              <w:shd w:val="clear" w:color="auto" w:fill="FFFFFF"/>
              <w:spacing w:beforeAutospacing="0" w:afterAutospacing="0" w:line="5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审议肇庆市建筑业协会绿色建造与装配式建筑分会工作办法</w:t>
            </w:r>
          </w:p>
        </w:tc>
        <w:tc>
          <w:tcPr>
            <w:tcW w:w="1232"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229"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3</w:t>
            </w:r>
          </w:p>
        </w:tc>
        <w:tc>
          <w:tcPr>
            <w:tcW w:w="5774" w:type="dxa"/>
            <w:tcBorders>
              <w:right w:val="single" w:color="auto" w:sz="4" w:space="0"/>
            </w:tcBorders>
            <w:vAlign w:val="center"/>
          </w:tcPr>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审议肇</w:t>
            </w:r>
            <w:r>
              <w:rPr>
                <w:rFonts w:hint="eastAsia" w:ascii="仿宋_GB2312" w:hAnsi="仿宋_GB2312" w:eastAsia="仿宋_GB2312" w:cs="仿宋_GB2312"/>
                <w:kern w:val="0"/>
                <w:sz w:val="28"/>
                <w:szCs w:val="28"/>
              </w:rPr>
              <w:t>庆市建筑业协会绿色建造与装配式建筑分会第一届理事会会长、副会长、秘书长、副秘书长候选人简历</w:t>
            </w:r>
          </w:p>
        </w:tc>
        <w:tc>
          <w:tcPr>
            <w:tcW w:w="1232"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229" w:type="dxa"/>
            <w:tcBorders>
              <w:top w:val="single" w:color="auto" w:sz="4" w:space="0"/>
              <w:left w:val="single" w:color="auto" w:sz="4" w:space="0"/>
              <w:bottom w:val="single" w:color="auto" w:sz="4" w:space="0"/>
              <w:right w:val="nil"/>
            </w:tcBorders>
            <w:vAlign w:val="center"/>
          </w:tcPr>
          <w:p>
            <w:pPr>
              <w:spacing w:line="600" w:lineRule="exact"/>
              <w:jc w:val="center"/>
              <w:rPr>
                <w:rFonts w:ascii="仿宋_GB2312" w:eastAsia="仿宋_GB2312"/>
                <w:sz w:val="28"/>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4</w:t>
            </w:r>
          </w:p>
        </w:tc>
        <w:tc>
          <w:tcPr>
            <w:tcW w:w="5774" w:type="dxa"/>
            <w:tcBorders>
              <w:right w:val="single" w:color="auto" w:sz="4" w:space="0"/>
            </w:tcBorders>
            <w:vAlign w:val="center"/>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审议肇庆市建筑业协会2022年度优秀行业协会扶持资金使用计划使用方案</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5</w:t>
            </w:r>
          </w:p>
        </w:tc>
        <w:tc>
          <w:tcPr>
            <w:tcW w:w="5774" w:type="dxa"/>
            <w:vAlign w:val="center"/>
          </w:tcPr>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审议肇庆市建筑业协会协会网站升级方案</w:t>
            </w:r>
          </w:p>
        </w:tc>
        <w:tc>
          <w:tcPr>
            <w:tcW w:w="1232" w:type="dxa"/>
            <w:tcBorders>
              <w:top w:val="single" w:color="auto" w:sz="4" w:space="0"/>
            </w:tcBorders>
            <w:vAlign w:val="center"/>
          </w:tcPr>
          <w:p>
            <w:pPr>
              <w:spacing w:line="600" w:lineRule="exact"/>
              <w:jc w:val="center"/>
              <w:rPr>
                <w:rFonts w:ascii="仿宋_GB2312" w:eastAsia="仿宋_GB2312"/>
                <w:sz w:val="28"/>
                <w:szCs w:val="28"/>
              </w:rPr>
            </w:pPr>
          </w:p>
        </w:tc>
        <w:tc>
          <w:tcPr>
            <w:tcW w:w="1229" w:type="dxa"/>
            <w:tcBorders>
              <w:top w:val="single" w:color="auto" w:sz="4" w:space="0"/>
            </w:tcBorders>
            <w:vAlign w:val="center"/>
          </w:tcPr>
          <w:p>
            <w:pPr>
              <w:spacing w:line="600" w:lineRule="exact"/>
              <w:jc w:val="center"/>
              <w:rPr>
                <w:rFonts w:ascii="仿宋_GB2312" w:eastAsia="仿宋_GB2312"/>
                <w:sz w:val="28"/>
                <w:szCs w:val="28"/>
              </w:rPr>
            </w:pPr>
          </w:p>
        </w:tc>
        <w:tc>
          <w:tcPr>
            <w:tcW w:w="1073" w:type="dxa"/>
            <w:tcBorders>
              <w:top w:val="single" w:color="auto" w:sz="4" w:space="0"/>
            </w:tcBorders>
            <w:vAlign w:val="center"/>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6</w:t>
            </w:r>
          </w:p>
        </w:tc>
        <w:tc>
          <w:tcPr>
            <w:tcW w:w="5774" w:type="dxa"/>
            <w:vAlign w:val="center"/>
          </w:tcPr>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审议申请入会会员单位名单</w:t>
            </w:r>
          </w:p>
        </w:tc>
        <w:tc>
          <w:tcPr>
            <w:tcW w:w="1232" w:type="dxa"/>
            <w:vAlign w:val="center"/>
          </w:tcPr>
          <w:p>
            <w:pPr>
              <w:spacing w:line="600" w:lineRule="exact"/>
              <w:jc w:val="center"/>
              <w:rPr>
                <w:rFonts w:ascii="仿宋_GB2312" w:hAnsi="仿宋_GB2312" w:eastAsia="仿宋_GB2312" w:cs="仿宋_GB2312"/>
                <w:sz w:val="28"/>
                <w:szCs w:val="28"/>
              </w:rPr>
            </w:pPr>
          </w:p>
        </w:tc>
        <w:tc>
          <w:tcPr>
            <w:tcW w:w="1229" w:type="dxa"/>
            <w:vAlign w:val="center"/>
          </w:tcPr>
          <w:p>
            <w:pPr>
              <w:spacing w:line="600" w:lineRule="exact"/>
              <w:jc w:val="center"/>
              <w:rPr>
                <w:rFonts w:ascii="仿宋_GB2312" w:hAnsi="仿宋_GB2312" w:eastAsia="仿宋_GB2312" w:cs="仿宋_GB2312"/>
                <w:sz w:val="28"/>
                <w:szCs w:val="28"/>
              </w:rPr>
            </w:pPr>
          </w:p>
        </w:tc>
        <w:tc>
          <w:tcPr>
            <w:tcW w:w="1073" w:type="dxa"/>
            <w:vAlign w:val="center"/>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2" w:type="dxa"/>
            <w:vAlign w:val="center"/>
          </w:tcPr>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7</w:t>
            </w:r>
          </w:p>
        </w:tc>
        <w:tc>
          <w:tcPr>
            <w:tcW w:w="5774" w:type="dxa"/>
            <w:vAlign w:val="center"/>
          </w:tcPr>
          <w:p>
            <w:pPr>
              <w:pStyle w:val="13"/>
              <w:spacing w:line="64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审议申请退会会员单位名单</w:t>
            </w:r>
          </w:p>
        </w:tc>
        <w:tc>
          <w:tcPr>
            <w:tcW w:w="1232" w:type="dxa"/>
            <w:vAlign w:val="center"/>
          </w:tcPr>
          <w:p>
            <w:pPr>
              <w:spacing w:line="600" w:lineRule="exact"/>
              <w:jc w:val="center"/>
              <w:rPr>
                <w:rFonts w:ascii="仿宋_GB2312" w:hAnsi="仿宋_GB2312" w:eastAsia="仿宋_GB2312" w:cs="仿宋_GB2312"/>
                <w:sz w:val="28"/>
                <w:szCs w:val="28"/>
              </w:rPr>
            </w:pPr>
          </w:p>
        </w:tc>
        <w:tc>
          <w:tcPr>
            <w:tcW w:w="1229" w:type="dxa"/>
            <w:vAlign w:val="center"/>
          </w:tcPr>
          <w:p>
            <w:pPr>
              <w:spacing w:line="600" w:lineRule="exact"/>
              <w:jc w:val="center"/>
              <w:rPr>
                <w:rFonts w:ascii="仿宋_GB2312" w:hAnsi="仿宋_GB2312" w:eastAsia="仿宋_GB2312" w:cs="仿宋_GB2312"/>
                <w:sz w:val="28"/>
                <w:szCs w:val="28"/>
              </w:rPr>
            </w:pPr>
          </w:p>
        </w:tc>
        <w:tc>
          <w:tcPr>
            <w:tcW w:w="1073" w:type="dxa"/>
            <w:vAlign w:val="center"/>
          </w:tcPr>
          <w:p>
            <w:pPr>
              <w:spacing w:line="6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10100" w:type="dxa"/>
            <w:gridSpan w:val="5"/>
            <w:vAlign w:val="center"/>
          </w:tcPr>
          <w:p>
            <w:pPr>
              <w:spacing w:line="300" w:lineRule="exact"/>
              <w:ind w:left="840" w:hanging="840" w:hangingChars="300"/>
              <w:rPr>
                <w:rFonts w:ascii="仿宋_GB2312" w:eastAsia="仿宋_GB2312"/>
                <w:sz w:val="28"/>
                <w:szCs w:val="28"/>
              </w:rPr>
            </w:pPr>
            <w:r>
              <w:rPr>
                <w:rFonts w:hint="eastAsia" w:ascii="仿宋_GB2312" w:eastAsia="仿宋_GB2312"/>
                <w:sz w:val="28"/>
                <w:szCs w:val="28"/>
              </w:rPr>
              <w:t>说明：1.请在相应栏内打“○”；2.审议表决后，请加盖公章，于2022年8月4日前将此表通过电子邮箱或邮寄方式反馈至肇庆市建筑业协会秘书处；3.其他意见和建议请另附页说明。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jc w:val="center"/>
        </w:trPr>
        <w:tc>
          <w:tcPr>
            <w:tcW w:w="10100" w:type="dxa"/>
            <w:gridSpan w:val="5"/>
          </w:tcPr>
          <w:p>
            <w:pPr>
              <w:rPr>
                <w:rFonts w:ascii="仿宋_GB2312" w:eastAsia="仿宋_GB2312"/>
                <w:sz w:val="32"/>
                <w:szCs w:val="32"/>
              </w:rPr>
            </w:pPr>
          </w:p>
          <w:p>
            <w:pPr>
              <w:rPr>
                <w:rFonts w:ascii="仿宋_GB2312" w:eastAsia="仿宋_GB2312"/>
                <w:sz w:val="32"/>
                <w:szCs w:val="32"/>
              </w:rPr>
            </w:pPr>
          </w:p>
          <w:p>
            <w:pPr>
              <w:ind w:firstLine="5120" w:firstLineChars="1600"/>
              <w:rPr>
                <w:rFonts w:ascii="仿宋_GB2312" w:eastAsia="仿宋_GB2312"/>
                <w:sz w:val="32"/>
                <w:szCs w:val="32"/>
              </w:rPr>
            </w:pPr>
            <w:r>
              <w:rPr>
                <w:rFonts w:hint="eastAsia" w:ascii="仿宋_GB2312" w:eastAsia="仿宋_GB2312"/>
                <w:sz w:val="32"/>
                <w:szCs w:val="32"/>
              </w:rPr>
              <w:t>单位(盖章):</w:t>
            </w:r>
          </w:p>
          <w:p>
            <w:pPr>
              <w:ind w:firstLine="4480" w:firstLineChars="1400"/>
            </w:pPr>
            <w:r>
              <w:rPr>
                <w:rFonts w:hint="eastAsia" w:ascii="仿宋_GB2312" w:eastAsia="仿宋_GB2312"/>
                <w:sz w:val="32"/>
                <w:szCs w:val="32"/>
              </w:rPr>
              <w:t xml:space="preserve">                年    月     日</w:t>
            </w:r>
          </w:p>
        </w:tc>
      </w:tr>
    </w:tbl>
    <w:p/>
    <w:sectPr>
      <w:footerReference r:id="rId3" w:type="default"/>
      <w:pgSz w:w="11906" w:h="16838"/>
      <w:pgMar w:top="1440" w:right="1701" w:bottom="146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6874"/>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95E"/>
    <w:rsid w:val="00006361"/>
    <w:rsid w:val="000307E7"/>
    <w:rsid w:val="00040388"/>
    <w:rsid w:val="00045B96"/>
    <w:rsid w:val="00065F85"/>
    <w:rsid w:val="00066975"/>
    <w:rsid w:val="00074836"/>
    <w:rsid w:val="0008080B"/>
    <w:rsid w:val="000F25D5"/>
    <w:rsid w:val="001073BE"/>
    <w:rsid w:val="00112986"/>
    <w:rsid w:val="00144942"/>
    <w:rsid w:val="00145F58"/>
    <w:rsid w:val="00176B64"/>
    <w:rsid w:val="001828C7"/>
    <w:rsid w:val="00185E98"/>
    <w:rsid w:val="00186780"/>
    <w:rsid w:val="001C234F"/>
    <w:rsid w:val="001F0C2A"/>
    <w:rsid w:val="001F562C"/>
    <w:rsid w:val="00252914"/>
    <w:rsid w:val="002743EA"/>
    <w:rsid w:val="0029606C"/>
    <w:rsid w:val="002B3658"/>
    <w:rsid w:val="002C2578"/>
    <w:rsid w:val="002E14FE"/>
    <w:rsid w:val="002F11B0"/>
    <w:rsid w:val="002F2A36"/>
    <w:rsid w:val="00323542"/>
    <w:rsid w:val="003361BF"/>
    <w:rsid w:val="0036133A"/>
    <w:rsid w:val="00414D64"/>
    <w:rsid w:val="0046748F"/>
    <w:rsid w:val="00480C29"/>
    <w:rsid w:val="00482A63"/>
    <w:rsid w:val="00491B1A"/>
    <w:rsid w:val="004B714C"/>
    <w:rsid w:val="004B7CF9"/>
    <w:rsid w:val="004D69A4"/>
    <w:rsid w:val="00526952"/>
    <w:rsid w:val="00543C3E"/>
    <w:rsid w:val="00550E18"/>
    <w:rsid w:val="00561FE0"/>
    <w:rsid w:val="00576981"/>
    <w:rsid w:val="00582D55"/>
    <w:rsid w:val="005A60BF"/>
    <w:rsid w:val="005C75F1"/>
    <w:rsid w:val="00600E03"/>
    <w:rsid w:val="006141B8"/>
    <w:rsid w:val="006676D2"/>
    <w:rsid w:val="00673C19"/>
    <w:rsid w:val="00676BAB"/>
    <w:rsid w:val="00695274"/>
    <w:rsid w:val="006C5F7B"/>
    <w:rsid w:val="006E656C"/>
    <w:rsid w:val="00701C60"/>
    <w:rsid w:val="00714974"/>
    <w:rsid w:val="007379CE"/>
    <w:rsid w:val="007531F3"/>
    <w:rsid w:val="00780D5D"/>
    <w:rsid w:val="007F0743"/>
    <w:rsid w:val="007F1DDE"/>
    <w:rsid w:val="0085297F"/>
    <w:rsid w:val="00866518"/>
    <w:rsid w:val="00866A95"/>
    <w:rsid w:val="00882D93"/>
    <w:rsid w:val="00887B69"/>
    <w:rsid w:val="008C3F26"/>
    <w:rsid w:val="008F0F37"/>
    <w:rsid w:val="008F770B"/>
    <w:rsid w:val="00922C91"/>
    <w:rsid w:val="009300CB"/>
    <w:rsid w:val="0093773D"/>
    <w:rsid w:val="00942DDF"/>
    <w:rsid w:val="0096467F"/>
    <w:rsid w:val="009840E0"/>
    <w:rsid w:val="00986A49"/>
    <w:rsid w:val="009A1690"/>
    <w:rsid w:val="009A2352"/>
    <w:rsid w:val="009C00CC"/>
    <w:rsid w:val="009C610B"/>
    <w:rsid w:val="009D0242"/>
    <w:rsid w:val="009E744C"/>
    <w:rsid w:val="009F08FE"/>
    <w:rsid w:val="009F6269"/>
    <w:rsid w:val="00A02BA3"/>
    <w:rsid w:val="00A31131"/>
    <w:rsid w:val="00A75B75"/>
    <w:rsid w:val="00AA0B55"/>
    <w:rsid w:val="00AB4E96"/>
    <w:rsid w:val="00AD1953"/>
    <w:rsid w:val="00AD55CD"/>
    <w:rsid w:val="00AD6F38"/>
    <w:rsid w:val="00B0295E"/>
    <w:rsid w:val="00B1458E"/>
    <w:rsid w:val="00B341EA"/>
    <w:rsid w:val="00B50E7D"/>
    <w:rsid w:val="00B85119"/>
    <w:rsid w:val="00BA1B6B"/>
    <w:rsid w:val="00BC140E"/>
    <w:rsid w:val="00C63449"/>
    <w:rsid w:val="00C86CCD"/>
    <w:rsid w:val="00CA50E2"/>
    <w:rsid w:val="00CC2BD4"/>
    <w:rsid w:val="00CD4E4D"/>
    <w:rsid w:val="00D2699B"/>
    <w:rsid w:val="00D40C9E"/>
    <w:rsid w:val="00D47BB6"/>
    <w:rsid w:val="00D525AB"/>
    <w:rsid w:val="00D93EE4"/>
    <w:rsid w:val="00D94FFD"/>
    <w:rsid w:val="00E02E45"/>
    <w:rsid w:val="00E03E8E"/>
    <w:rsid w:val="00E07309"/>
    <w:rsid w:val="00E237CA"/>
    <w:rsid w:val="00EB7AFC"/>
    <w:rsid w:val="00ED3275"/>
    <w:rsid w:val="00EE4B59"/>
    <w:rsid w:val="00EF53F5"/>
    <w:rsid w:val="00F25898"/>
    <w:rsid w:val="00F330C2"/>
    <w:rsid w:val="00F4263B"/>
    <w:rsid w:val="00F623BD"/>
    <w:rsid w:val="00F67BFB"/>
    <w:rsid w:val="00F74ECF"/>
    <w:rsid w:val="00F80275"/>
    <w:rsid w:val="00FA32AC"/>
    <w:rsid w:val="00FC353E"/>
    <w:rsid w:val="00FF1519"/>
    <w:rsid w:val="01327F8C"/>
    <w:rsid w:val="01C06C11"/>
    <w:rsid w:val="03755845"/>
    <w:rsid w:val="053F2CC1"/>
    <w:rsid w:val="07350A4E"/>
    <w:rsid w:val="07EA44D5"/>
    <w:rsid w:val="0BD15B9D"/>
    <w:rsid w:val="112030B9"/>
    <w:rsid w:val="1152006F"/>
    <w:rsid w:val="11862F04"/>
    <w:rsid w:val="12630E92"/>
    <w:rsid w:val="13FE6110"/>
    <w:rsid w:val="14247CC4"/>
    <w:rsid w:val="142B2150"/>
    <w:rsid w:val="14F44C62"/>
    <w:rsid w:val="15495A3B"/>
    <w:rsid w:val="156572E5"/>
    <w:rsid w:val="174B19C4"/>
    <w:rsid w:val="18F875E8"/>
    <w:rsid w:val="1910795B"/>
    <w:rsid w:val="1CED7FCE"/>
    <w:rsid w:val="1D6E2128"/>
    <w:rsid w:val="1DF36064"/>
    <w:rsid w:val="1E5B1A34"/>
    <w:rsid w:val="1EAA3D6E"/>
    <w:rsid w:val="24DD4852"/>
    <w:rsid w:val="25171C57"/>
    <w:rsid w:val="274E685B"/>
    <w:rsid w:val="27E07154"/>
    <w:rsid w:val="29A81D09"/>
    <w:rsid w:val="2BB47B7C"/>
    <w:rsid w:val="2CCB09F8"/>
    <w:rsid w:val="2DBC1B76"/>
    <w:rsid w:val="2EEA0266"/>
    <w:rsid w:val="2F7E48D0"/>
    <w:rsid w:val="303876E4"/>
    <w:rsid w:val="317706C8"/>
    <w:rsid w:val="31DA78AC"/>
    <w:rsid w:val="34EC2CAE"/>
    <w:rsid w:val="351F49A1"/>
    <w:rsid w:val="3A7645C6"/>
    <w:rsid w:val="401C2D1C"/>
    <w:rsid w:val="41B65F61"/>
    <w:rsid w:val="41C57683"/>
    <w:rsid w:val="45F91B48"/>
    <w:rsid w:val="46F15C8D"/>
    <w:rsid w:val="474A4A69"/>
    <w:rsid w:val="47F21C01"/>
    <w:rsid w:val="48085FC3"/>
    <w:rsid w:val="49B45478"/>
    <w:rsid w:val="4C6343C0"/>
    <w:rsid w:val="4C886441"/>
    <w:rsid w:val="4CA86795"/>
    <w:rsid w:val="509724E4"/>
    <w:rsid w:val="55406DFB"/>
    <w:rsid w:val="55B7591B"/>
    <w:rsid w:val="58607A08"/>
    <w:rsid w:val="5D8D2F45"/>
    <w:rsid w:val="5F401D10"/>
    <w:rsid w:val="5FD44A6F"/>
    <w:rsid w:val="60D92857"/>
    <w:rsid w:val="627346B5"/>
    <w:rsid w:val="62B13FD8"/>
    <w:rsid w:val="630B2FA5"/>
    <w:rsid w:val="662F0265"/>
    <w:rsid w:val="666311E9"/>
    <w:rsid w:val="6A6F480C"/>
    <w:rsid w:val="6B961B05"/>
    <w:rsid w:val="6CF05EA6"/>
    <w:rsid w:val="6D6062EB"/>
    <w:rsid w:val="6F5748DB"/>
    <w:rsid w:val="724F3478"/>
    <w:rsid w:val="75037876"/>
    <w:rsid w:val="75A8662B"/>
    <w:rsid w:val="764439E7"/>
    <w:rsid w:val="77100171"/>
    <w:rsid w:val="7A207546"/>
    <w:rsid w:val="7ACF798E"/>
    <w:rsid w:val="7C2B0B97"/>
    <w:rsid w:val="7D0D4D83"/>
    <w:rsid w:val="7E463A98"/>
    <w:rsid w:val="7F232E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unhideWhenUsed/>
    <w:qFormat/>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5"/>
    <w:qFormat/>
    <w:uiPriority w:val="10"/>
    <w:pPr>
      <w:spacing w:before="240" w:after="60"/>
      <w:jc w:val="center"/>
      <w:outlineLvl w:val="0"/>
    </w:pPr>
    <w:rPr>
      <w:rFonts w:asciiTheme="majorHAnsi" w:hAnsiTheme="majorHAnsi" w:cstheme="majorBidi"/>
      <w:b/>
      <w:bCs/>
      <w:sz w:val="32"/>
      <w:szCs w:val="32"/>
    </w:rPr>
  </w:style>
  <w:style w:type="paragraph" w:styleId="4">
    <w:name w:val="Balloon Text"/>
    <w:basedOn w:val="1"/>
    <w:link w:val="19"/>
    <w:unhideWhenUsed/>
    <w:uiPriority w:val="99"/>
    <w:rPr>
      <w:sz w:val="18"/>
      <w:szCs w:val="18"/>
    </w:rPr>
  </w:style>
  <w:style w:type="paragraph" w:styleId="5">
    <w:name w:val="footer"/>
    <w:basedOn w:val="1"/>
    <w:link w:val="18"/>
    <w:unhideWhenUsed/>
    <w:qFormat/>
    <w:uiPriority w:val="0"/>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正文文本 Char"/>
    <w:basedOn w:val="8"/>
    <w:link w:val="2"/>
    <w:qFormat/>
    <w:uiPriority w:val="99"/>
    <w:rPr>
      <w:rFonts w:ascii="Times New Roman" w:hAnsi="Times New Roman" w:eastAsia="仿宋_GB2312" w:cs="Times New Roman"/>
      <w:szCs w:val="21"/>
    </w:rPr>
  </w:style>
  <w:style w:type="paragraph" w:customStyle="1" w:styleId="13">
    <w:name w:val="列出段落1"/>
    <w:basedOn w:val="1"/>
    <w:qFormat/>
    <w:uiPriority w:val="34"/>
    <w:pPr>
      <w:ind w:firstLine="420" w:firstLineChars="200"/>
    </w:pPr>
  </w:style>
  <w:style w:type="paragraph" w:customStyle="1" w:styleId="14">
    <w:name w:val="列出段落2"/>
    <w:basedOn w:val="1"/>
    <w:unhideWhenUsed/>
    <w:qFormat/>
    <w:uiPriority w:val="99"/>
    <w:pPr>
      <w:ind w:firstLine="420" w:firstLineChars="200"/>
    </w:pPr>
  </w:style>
  <w:style w:type="character" w:customStyle="1" w:styleId="15">
    <w:name w:val="标题 Char"/>
    <w:basedOn w:val="8"/>
    <w:link w:val="3"/>
    <w:qFormat/>
    <w:uiPriority w:val="10"/>
    <w:rPr>
      <w:rFonts w:eastAsia="宋体" w:asciiTheme="majorHAnsi" w:hAnsiTheme="majorHAnsi" w:cstheme="majorBidi"/>
      <w:b/>
      <w:bCs/>
      <w:sz w:val="32"/>
      <w:szCs w:val="32"/>
    </w:rPr>
  </w:style>
  <w:style w:type="paragraph" w:customStyle="1" w:styleId="16">
    <w:name w:val="列出段落3"/>
    <w:basedOn w:val="1"/>
    <w:unhideWhenUsed/>
    <w:qFormat/>
    <w:uiPriority w:val="99"/>
    <w:pPr>
      <w:ind w:firstLine="420" w:firstLineChars="200"/>
    </w:pPr>
  </w:style>
  <w:style w:type="character" w:customStyle="1" w:styleId="17">
    <w:name w:val="页眉 Char"/>
    <w:basedOn w:val="8"/>
    <w:link w:val="6"/>
    <w:semiHidden/>
    <w:qFormat/>
    <w:uiPriority w:val="99"/>
    <w:rPr>
      <w:rFonts w:ascii="Calibri" w:hAnsi="Calibri" w:eastAsia="宋体" w:cs="Times New Roman"/>
      <w:sz w:val="18"/>
      <w:szCs w:val="18"/>
    </w:rPr>
  </w:style>
  <w:style w:type="character" w:customStyle="1" w:styleId="18">
    <w:name w:val="页脚 Char"/>
    <w:basedOn w:val="8"/>
    <w:link w:val="5"/>
    <w:qFormat/>
    <w:uiPriority w:val="0"/>
    <w:rPr>
      <w:rFonts w:ascii="Calibri" w:hAnsi="Calibri" w:eastAsia="宋体" w:cs="Times New Roman"/>
      <w:sz w:val="18"/>
      <w:szCs w:val="18"/>
    </w:rPr>
  </w:style>
  <w:style w:type="character" w:customStyle="1" w:styleId="19">
    <w:name w:val="批注框文本 Char"/>
    <w:basedOn w:val="8"/>
    <w:link w:val="4"/>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636A-AEDD-4BF7-BD8E-319F51169CE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1375</Words>
  <Characters>7839</Characters>
  <Lines>65</Lines>
  <Paragraphs>18</Paragraphs>
  <TotalTime>0</TotalTime>
  <ScaleCrop>false</ScaleCrop>
  <LinksUpToDate>false</LinksUpToDate>
  <CharactersWithSpaces>9196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2022-07-26T07:27:00Z</dcterms:created>
  <dc:creator>Administrator</dc:creator>
  <cp:lastModifiedBy>Administrator</cp:lastModifiedBy>
  <dcterms:modified xsi:type="dcterms:W3CDTF">2022-08-02T01:52:49Z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