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rPr>
          <w:rFonts w:ascii="仿宋_GB2312" w:eastAsia="仿宋_GB2312"/>
          <w:sz w:val="32"/>
          <w:szCs w:val="32"/>
        </w:rPr>
      </w:pPr>
      <w:r>
        <w:rPr>
          <w:rFonts w:hint="eastAsia" w:ascii="仿宋_GB2312" w:eastAsia="仿宋_GB2312"/>
          <w:sz w:val="32"/>
          <w:szCs w:val="32"/>
        </w:rPr>
        <w:t>附件：1</w:t>
      </w:r>
    </w:p>
    <w:p>
      <w:pPr>
        <w:pStyle w:val="7"/>
        <w:widowControl/>
        <w:shd w:val="clear" w:color="auto" w:fill="FFFFFF"/>
        <w:spacing w:beforeAutospacing="0" w:afterAutospacing="0" w:line="500" w:lineRule="exact"/>
        <w:rPr>
          <w:rFonts w:ascii="仿宋_GB2312" w:eastAsia="仿宋_GB2312"/>
          <w:sz w:val="32"/>
          <w:szCs w:val="32"/>
        </w:rPr>
      </w:pPr>
    </w:p>
    <w:p>
      <w:pPr>
        <w:pStyle w:val="7"/>
        <w:widowControl/>
        <w:shd w:val="clear" w:color="auto" w:fill="FFFFFF"/>
        <w:spacing w:beforeAutospacing="0" w:afterAutospacing="0"/>
        <w:jc w:val="center"/>
        <w:rPr>
          <w:rStyle w:val="9"/>
          <w:rFonts w:ascii="仿宋_GB2312" w:eastAsia="仿宋_GB2312"/>
          <w:b w:val="0"/>
          <w:sz w:val="32"/>
          <w:szCs w:val="32"/>
        </w:rPr>
      </w:pPr>
      <w:r>
        <w:rPr>
          <w:rStyle w:val="9"/>
          <w:rFonts w:hint="eastAsia" w:cs="微软雅黑" w:asciiTheme="majorEastAsia" w:hAnsiTheme="majorEastAsia" w:eastAsiaTheme="majorEastAsia"/>
          <w:bCs/>
          <w:color w:val="333333"/>
          <w:sz w:val="44"/>
          <w:szCs w:val="44"/>
          <w:shd w:val="clear" w:color="auto" w:fill="FFFFFF"/>
        </w:rPr>
        <w:t>关于拟成立肇庆市建筑业协会绿色建造与</w:t>
      </w:r>
    </w:p>
    <w:p>
      <w:pPr>
        <w:pStyle w:val="7"/>
        <w:widowControl/>
        <w:shd w:val="clear" w:color="auto" w:fill="FFFFFF"/>
        <w:spacing w:beforeAutospacing="0" w:afterAutospacing="0"/>
        <w:jc w:val="center"/>
        <w:rPr>
          <w:rStyle w:val="9"/>
          <w:rFonts w:cs="微软雅黑" w:asciiTheme="majorEastAsia" w:hAnsiTheme="majorEastAsia" w:eastAsiaTheme="majorEastAsia"/>
          <w:bCs/>
          <w:color w:val="333333"/>
          <w:sz w:val="44"/>
          <w:szCs w:val="44"/>
          <w:shd w:val="clear" w:color="auto" w:fill="FFFFFF"/>
        </w:rPr>
      </w:pPr>
      <w:r>
        <w:rPr>
          <w:rStyle w:val="9"/>
          <w:rFonts w:hint="eastAsia" w:cs="微软雅黑" w:asciiTheme="majorEastAsia" w:hAnsiTheme="majorEastAsia" w:eastAsiaTheme="majorEastAsia"/>
          <w:bCs/>
          <w:color w:val="333333"/>
          <w:sz w:val="44"/>
          <w:szCs w:val="44"/>
          <w:shd w:val="clear" w:color="auto" w:fill="FFFFFF"/>
        </w:rPr>
        <w:t>装配式建筑分会的组织方案</w:t>
      </w:r>
    </w:p>
    <w:p>
      <w:pPr>
        <w:spacing w:line="600" w:lineRule="exact"/>
        <w:rPr>
          <w:rFonts w:ascii="仿宋_GB2312" w:eastAsia="仿宋_GB2312"/>
          <w:sz w:val="32"/>
          <w:szCs w:val="32"/>
        </w:rPr>
      </w:pPr>
    </w:p>
    <w:p>
      <w:pPr>
        <w:pStyle w:val="7"/>
        <w:widowControl/>
        <w:shd w:val="clear" w:color="auto" w:fill="FFFFFF"/>
        <w:spacing w:beforeAutospacing="0" w:afterAutospacing="0" w:line="560"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各理事单位</w:t>
      </w:r>
      <w:r>
        <w:rPr>
          <w:rFonts w:hint="eastAsia" w:ascii="仿宋_GB2312" w:hAnsi="仿宋_GB2312" w:eastAsia="仿宋_GB2312" w:cs="仿宋_GB2312"/>
          <w:b/>
          <w:kern w:val="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2016年《国务院办公厅关于大力发展装配式建筑的指导意见》（国办发〔2016〕71号），《肇庆市装配式建筑2018—2025发展规划》要求，为加强肇庆市装配式建筑政策和技术标准的宣传力度，推广先进经验和创新技术，促进肇庆市</w:t>
      </w:r>
      <w:r>
        <w:rPr>
          <w:rFonts w:hint="eastAsia" w:ascii="仿宋_GB2312" w:hAnsi="仿宋_GB2312" w:eastAsia="仿宋_GB2312" w:cs="仿宋_GB2312"/>
          <w:sz w:val="32"/>
          <w:szCs w:val="32"/>
          <w:u w:val="single" w:color="FFFFFF" w:themeColor="background1"/>
        </w:rPr>
        <w:t>绿色建造和</w:t>
      </w:r>
      <w:r>
        <w:rPr>
          <w:rFonts w:hint="eastAsia" w:ascii="仿宋_GB2312" w:hAnsi="仿宋_GB2312" w:eastAsia="仿宋_GB2312" w:cs="仿宋_GB2312"/>
          <w:sz w:val="32"/>
          <w:szCs w:val="32"/>
        </w:rPr>
        <w:t>装配式建筑持续健康发展，我协会</w:t>
      </w:r>
      <w:r>
        <w:rPr>
          <w:rFonts w:hint="eastAsia" w:ascii="仿宋_GB2312" w:hAnsi="仿宋_GB2312" w:eastAsia="仿宋_GB2312" w:cs="仿宋_GB2312"/>
          <w:bCs/>
          <w:sz w:val="32"/>
          <w:szCs w:val="32"/>
        </w:rPr>
        <w:t>拟成立：</w:t>
      </w:r>
      <w:r>
        <w:rPr>
          <w:rFonts w:hint="eastAsia" w:ascii="仿宋_GB2312" w:hAnsi="仿宋_GB2312" w:eastAsia="仿宋_GB2312" w:cs="仿宋_GB2312"/>
          <w:sz w:val="32"/>
          <w:szCs w:val="32"/>
        </w:rPr>
        <w:t>肇庆市建筑业协会绿色建造与装配式建筑分会，分会组织设立方案如下：</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一、申请成立的因由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1.中央、地区政策层面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2016年《国务院办公厅关于大力发展装配式建筑的指导意见》（国办发〔2016〕71号），国家提出力争用10年左右的时间，使装配式建筑占新建建筑面积的比例达到30%。此政策表明发展装配式建筑已成国策，装配式建筑前景广阔，大有可为，珠三角城市群作为装配式建筑重点推进地区，肇庆市积极响应并发布《肇庆市装配式建筑2018—2025发展规划》，规划中明确提出到2025年末，实现装配式建筑占新建建筑面积的比例达到35%以上。就目前肇庆装配式建筑推进情况来看，与广州、深圳等周边一线城市相比步伐缓慢、差距明显。由于肇庆建筑行业对装配式建筑了解不深、认识存在偏差，缺乏交流互鉴的平台去整合行业资源等因素,制约了肇庆市装配式建筑的发展，故为了发展需要，亟需成立本分会用以搭建合作交流的平台，发挥桥梁和纽带的作用，整合资源、形成合力，解决制约行业发展的痛点问题，促进肇庆市装配式建筑蓬勃发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2.地区行业层面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为加强肇庆市装配式建筑政策和技术标准的宣传力度，推广先进经验和创新技术，促进肇庆市</w:t>
      </w:r>
      <w:r>
        <w:rPr>
          <w:rFonts w:hint="eastAsia" w:ascii="仿宋_GB2312" w:hAnsi="仿宋_GB2312" w:eastAsia="仿宋_GB2312" w:cs="仿宋_GB2312"/>
          <w:sz w:val="32"/>
          <w:szCs w:val="32"/>
          <w:u w:val="single" w:color="FFFFFF" w:themeColor="background1"/>
        </w:rPr>
        <w:t>绿色建造和</w:t>
      </w:r>
      <w:r>
        <w:rPr>
          <w:rFonts w:hint="eastAsia" w:ascii="仿宋_GB2312" w:hAnsi="仿宋_GB2312" w:eastAsia="仿宋_GB2312" w:cs="仿宋_GB2312"/>
          <w:sz w:val="32"/>
          <w:szCs w:val="32"/>
        </w:rPr>
        <w:t>装配式建筑持续健康发展、建筑产业稳步转型升级，提升本土设计、施工企业装配式建筑技术、BIM技术等实施能力，本分会依托肇庆市建筑业协会平台，积极与各会员单位交流装配式建筑相关经验，以优秀示范工程项目为引领，推进新技术创新和应用步伐，加快建筑业建造方式转型升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全国各省、市都在积极部署，以期占领装配式建筑领域的战略制高点。目前肇庆市装配式产业资源集约性总体不强，这一状况在一定程度上制约了装配式建筑在肇庆的健康快速发展。为了发挥装配式建筑领域在肇庆本土发展的优势，在关键领域迎头赶上，迫切需要有一个学术团体组织，通过建立学术交流的平台，将肇庆地区各产业链单位技术研究力量有效地联合起来，发挥整体优势，集中力量，加强具有重要应用前景的装配式建筑研究和应用基础研究，并推进技术成果的转化。因此，肇庆市建筑业协会绿色建造与装配式建筑分会的成立势在必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以上几点原因，特申请成立肇庆市建筑业协会绿色建造与装配式建筑分会，本分会依托肇庆市建筑业协会平台，统筹整合肇庆地区各产业链单位，制定健全装配式建筑行业技术标准体系，将积极履行分会职责，携手更多企业、行业机构，竭力发挥作用，促进肇庆市装配式建筑行业的健康、可持续发展。</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二、分会管理机构为工作委员会</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1.拟任第一届工作委员会会长：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肇庆市建筑工程有限公司 赵士智 董事长   </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2.拟任第一届工作委员会副会长：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肇庆市建筑工程有限公司   陈策 总经理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惠州远大住宅工业有限公司 罗旺 总经理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肇庆大旺城市发展集团有限公司 梁灏 董事长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广东腾宇建设工程有限公司  田仁军  董事长</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3.拟任第一届工作委员会秘书长：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肇庆市建筑工程有限公司 欧阳建新 技术中心主任</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
          <w:bCs/>
          <w:sz w:val="32"/>
          <w:szCs w:val="32"/>
        </w:rPr>
        <w:t>拟任第一届工作委员会副秘书长：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肇庆市建筑业协会  梁剑飞 工程部主任</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5.拟任第一届工作委员会理事单位：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肇庆市城建投资开发集团有限公司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肇庆大旺城市发展集团有限公司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广东省肇庆市建筑设计院有限公司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肇庆市建筑工程有限公司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惠州远大住宅工业有限公司</w:t>
      </w:r>
    </w:p>
    <w:p>
      <w:pPr>
        <w:spacing w:line="560" w:lineRule="exact"/>
        <w:ind w:firstLine="640" w:firstLineChars="200"/>
        <w:rPr>
          <w:rFonts w:ascii="仿宋" w:hAnsi="仿宋" w:eastAsia="仿宋" w:cs="仿宋"/>
          <w:b/>
          <w:bCs/>
          <w:sz w:val="32"/>
          <w:szCs w:val="32"/>
        </w:rPr>
      </w:pPr>
      <w:r>
        <w:rPr>
          <w:rFonts w:hint="eastAsia" w:ascii="仿宋_GB2312" w:hAnsi="仿宋_GB2312" w:eastAsia="仿宋_GB2312" w:cs="仿宋_GB2312"/>
          <w:sz w:val="32"/>
          <w:szCs w:val="32"/>
        </w:rPr>
        <w:t>广东腾宇建设工程有限公司</w:t>
      </w:r>
    </w:p>
    <w:p>
      <w:pPr>
        <w:spacing w:line="560" w:lineRule="exact"/>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object>
          <v:shape id="_x0000_i1025" o:spt="75" type="#_x0000_t75" style="height:176.25pt;width:291.75pt;" o:ole="t" filled="f" o:preferrelative="t" stroked="f" coordsize="21600,21600">
            <v:path/>
            <v:fill on="f" focussize="0,0"/>
            <v:stroke on="f" joinstyle="miter"/>
            <v:imagedata r:id="rId6" o:title=""/>
            <o:lock v:ext="edit" aspectratio="f"/>
            <w10:wrap type="none"/>
            <w10:anchorlock/>
          </v:shape>
          <o:OLEObject Type="Embed" ProgID="Visio.Drawing.11" ShapeID="_x0000_i1025" DrawAspect="Content" ObjectID="_1468075725" r:id="rId5">
            <o:LockedField>false</o:LockedField>
          </o:OLEObject>
        </w:object>
      </w:r>
    </w:p>
    <w:p>
      <w:pPr>
        <w:shd w:val="clear" w:color="auto" w:fill="FFFFFF"/>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三、分会简介</w:t>
      </w:r>
    </w:p>
    <w:p>
      <w:pPr>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肇庆市建筑业协会绿色建造与装配式建筑分会（简称装配式分会）是肇庆地区绿色建造和装配式建筑领域首个全产业链的行业平台，是市5A级协会肇庆市建筑业协会的分支机构。业务范围涵盖了结构、材料、设计、施工、监理、质量监督、检测、产品研发、产品制造以及相关配套环节的相关单位，聚集了设计标准化、生产工业化、施工装配化、装修一体化、管理信息化等方面的力量。协会依托良好的会员互利合作机制，聚合优质企业资源、技术资源、产业资源、专家资源、政府信息资源等，在政府与企业、市场与企业之间发挥了良好的桥梁和纽带作用。</w:t>
      </w:r>
    </w:p>
    <w:p>
      <w:pPr>
        <w:shd w:val="clear" w:color="auto" w:fill="FFFFFF"/>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分会将在主管部门和建筑业协会的指导和支持下，本着“整合资源、搭建平台、服务会员、反应诉求、互惠互利、促进产业”的宗旨，当好政府的参谋者、企业的服务者、行业的引领者，致力打造一个全产业链、服务创新型和市场导向型的协会，推动建筑业和建造方式的转型升级，为以装配式建筑为代表的新型建筑工业化产业链的丰富和发展做出贡献。</w:t>
      </w:r>
    </w:p>
    <w:p>
      <w:pPr>
        <w:shd w:val="clear" w:color="auto" w:fill="FFFFFF"/>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四、分会办公地址</w:t>
      </w:r>
    </w:p>
    <w:p>
      <w:pPr>
        <w:shd w:val="clear" w:color="auto" w:fill="FFFFFF"/>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广东省肇庆市端州区人民南路26号二楼205室。</w:t>
      </w:r>
    </w:p>
    <w:p>
      <w:pPr>
        <w:shd w:val="clear" w:color="auto" w:fill="FFFFFF"/>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五、业务范围</w:t>
      </w:r>
    </w:p>
    <w:p>
      <w:pPr>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1.培训服务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为政府项目代建部门、地产、总包、装修、设计等相关企业以及广大会员单位提供基于项目与全产业链的装配式建筑、装配化装修、新型建筑工业化的培训业务。</w:t>
      </w:r>
    </w:p>
    <w:p>
      <w:pPr>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2.供应链服务</w:t>
      </w:r>
    </w:p>
    <w:p>
      <w:pPr>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装配式建筑供应链与传统建筑供应链有很大区别，标准化、集成化、模块化以及各环节的协同，对工程项目的成本、效率、质量影响非常大，中心目的在于协助装配式建筑各环节相关企业优化和丰富供应商、服务商资源，帮助材料商、部品部件企业精准、迅速切入甲方装配式供应体系。</w:t>
      </w:r>
    </w:p>
    <w:p>
      <w:pPr>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3.咨询服务</w:t>
      </w:r>
    </w:p>
    <w:p>
      <w:pPr>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依托具备装配式设计理念和实操项目经验的建筑设计团队为基础载体，以技术优化、成本控制与质量提升为导向，融合项目开发咨询、策划、设计、生产、施工、运维等环节，提供装配式全链条专业服务。</w:t>
      </w:r>
    </w:p>
    <w:p>
      <w:pPr>
        <w:shd w:val="clear" w:color="auto" w:fill="FFFFFF"/>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bCs/>
          <w:sz w:val="32"/>
          <w:szCs w:val="32"/>
          <w:shd w:val="clear" w:color="auto" w:fill="FFFFFF"/>
        </w:rPr>
        <w:t xml:space="preserve"> </w:t>
      </w:r>
      <w:r>
        <w:rPr>
          <w:rFonts w:hint="eastAsia" w:ascii="仿宋_GB2312" w:hAnsi="仿宋_GB2312" w:eastAsia="仿宋_GB2312" w:cs="仿宋_GB2312"/>
          <w:bCs/>
          <w:sz w:val="32"/>
          <w:szCs w:val="32"/>
        </w:rPr>
        <w:t>4.BIM服务</w:t>
      </w:r>
    </w:p>
    <w:p>
      <w:pPr>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以“装配式建筑全过程BIM管理平台”为依托，研究BIM运用的关键技术、共性技术以及具体技术问题，进行成果转化和产业化，为装配式建筑项目提供从项目规划、方案策划、辅助招投标、初步设计、深化设计、运营维护的全流程、全方位、系统性的BIM整体解决方案，为项目落地提供基于全生命周期的BIM咨询服务。</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六、工作任务</w:t>
      </w:r>
    </w:p>
    <w:p>
      <w:pPr>
        <w:pStyle w:val="7"/>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1.加强自身建设，完善协会组织架构，引领肇庆装配式建筑高标准发展，不断增强协会影响力。</w:t>
      </w:r>
    </w:p>
    <w:p>
      <w:pPr>
        <w:pStyle w:val="7"/>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2.建立桥梁纽带，努力成为政府和社会的好助手，协会积极建言献策、提供服务，配合政府部门完成好相关的行业管理工作。</w:t>
      </w:r>
    </w:p>
    <w:p>
      <w:pPr>
        <w:pStyle w:val="7"/>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3.牵头制定标准，发挥智囊作用，为政府提供相关政策制定的参考和依据，为行业发展培养人才，提供经验。</w:t>
      </w:r>
    </w:p>
    <w:p>
      <w:pPr>
        <w:pStyle w:val="7"/>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培育行业品牌，协会联合品牌企业，举办优秀项目学习活动，组织开展年度优秀企业和科技奖项的评选，形成核心竞争力，提升行业整体形象。搭建交流平台，积极拓宽为会员服务的内容与方式，满足会员企业的需求。</w:t>
      </w:r>
    </w:p>
    <w:p>
      <w:pPr>
        <w:pStyle w:val="7"/>
        <w:widowControl/>
        <w:shd w:val="clear" w:color="auto" w:fill="FFFFFF"/>
        <w:spacing w:beforeAutospacing="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5.做好宣传推广，加快装配式建筑知识的普及，提升社会对装配式建筑的认可度和参与度。</w:t>
      </w:r>
    </w:p>
    <w:p>
      <w:pPr>
        <w:pStyle w:val="7"/>
        <w:widowControl/>
        <w:shd w:val="clear" w:color="auto" w:fill="FFFFFF"/>
        <w:spacing w:beforeAutospacing="0" w:afterAutospacing="0" w:line="560" w:lineRule="exact"/>
        <w:rPr>
          <w:rFonts w:ascii="仿宋_GB2312" w:hAnsi="仿宋_GB2312" w:eastAsia="仿宋_GB2312" w:cs="仿宋_GB2312"/>
          <w:b/>
          <w:bCs/>
          <w:sz w:val="32"/>
          <w:szCs w:val="32"/>
        </w:rPr>
      </w:pPr>
    </w:p>
    <w:p>
      <w:pPr>
        <w:spacing w:line="560" w:lineRule="exact"/>
        <w:ind w:right="480"/>
        <w:jc w:val="right"/>
        <w:rPr>
          <w:rFonts w:ascii="仿宋_GB2312" w:hAnsi="仿宋_GB2312" w:eastAsia="仿宋_GB2312" w:cs="仿宋_GB2312"/>
          <w:sz w:val="32"/>
          <w:szCs w:val="32"/>
        </w:rPr>
      </w:pPr>
    </w:p>
    <w:p>
      <w:pPr>
        <w:spacing w:line="600" w:lineRule="exact"/>
        <w:rPr>
          <w:rFonts w:ascii="仿宋" w:hAnsi="仿宋" w:eastAsia="仿宋"/>
          <w:sz w:val="32"/>
          <w:szCs w:val="32"/>
        </w:rPr>
      </w:pPr>
    </w:p>
    <w:p>
      <w:pPr>
        <w:spacing w:line="600" w:lineRule="exact"/>
        <w:jc w:val="left"/>
        <w:rPr>
          <w:rFonts w:ascii="方正小标宋简体" w:hAnsi="仿宋" w:eastAsia="方正小标宋简体"/>
          <w:b/>
          <w:sz w:val="44"/>
          <w:szCs w:val="44"/>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40" w:lineRule="exact"/>
        <w:rPr>
          <w:rFonts w:hint="eastAsia" w:ascii="仿宋_GB2312" w:eastAsia="仿宋_GB2312"/>
          <w:sz w:val="32"/>
          <w:szCs w:val="32"/>
        </w:rPr>
      </w:pPr>
    </w:p>
    <w:p>
      <w:bookmarkStart w:id="0" w:name="_GoBack"/>
      <w:bookmarkEnd w:id="0"/>
    </w:p>
    <w:sectPr>
      <w:footerReference r:id="rId3" w:type="default"/>
      <w:pgSz w:w="11906" w:h="16838"/>
      <w:pgMar w:top="1440" w:right="1701" w:bottom="1465"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76874"/>
    </w:sdtPr>
    <w:sdtContent>
      <w:p>
        <w:pPr>
          <w:pStyle w:val="5"/>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295E"/>
    <w:rsid w:val="00006361"/>
    <w:rsid w:val="000307E7"/>
    <w:rsid w:val="00040388"/>
    <w:rsid w:val="00045B96"/>
    <w:rsid w:val="00065F85"/>
    <w:rsid w:val="00066975"/>
    <w:rsid w:val="00074836"/>
    <w:rsid w:val="0008080B"/>
    <w:rsid w:val="000F25D5"/>
    <w:rsid w:val="001073BE"/>
    <w:rsid w:val="00112986"/>
    <w:rsid w:val="00144942"/>
    <w:rsid w:val="00145F58"/>
    <w:rsid w:val="00176B64"/>
    <w:rsid w:val="001828C7"/>
    <w:rsid w:val="00185E98"/>
    <w:rsid w:val="00186780"/>
    <w:rsid w:val="001C234F"/>
    <w:rsid w:val="001F0C2A"/>
    <w:rsid w:val="001F562C"/>
    <w:rsid w:val="00252914"/>
    <w:rsid w:val="002743EA"/>
    <w:rsid w:val="0029606C"/>
    <w:rsid w:val="002B3658"/>
    <w:rsid w:val="002C2578"/>
    <w:rsid w:val="002E14FE"/>
    <w:rsid w:val="002F11B0"/>
    <w:rsid w:val="002F2A36"/>
    <w:rsid w:val="00323542"/>
    <w:rsid w:val="003361BF"/>
    <w:rsid w:val="0036133A"/>
    <w:rsid w:val="00414D64"/>
    <w:rsid w:val="0046748F"/>
    <w:rsid w:val="00480C29"/>
    <w:rsid w:val="00482A63"/>
    <w:rsid w:val="00491B1A"/>
    <w:rsid w:val="004B714C"/>
    <w:rsid w:val="004B7CF9"/>
    <w:rsid w:val="004D69A4"/>
    <w:rsid w:val="00526952"/>
    <w:rsid w:val="00543C3E"/>
    <w:rsid w:val="00550E18"/>
    <w:rsid w:val="00561FE0"/>
    <w:rsid w:val="00576981"/>
    <w:rsid w:val="00582D55"/>
    <w:rsid w:val="005A60BF"/>
    <w:rsid w:val="005C75F1"/>
    <w:rsid w:val="00600E03"/>
    <w:rsid w:val="006141B8"/>
    <w:rsid w:val="006676D2"/>
    <w:rsid w:val="00673C19"/>
    <w:rsid w:val="00676BAB"/>
    <w:rsid w:val="00695274"/>
    <w:rsid w:val="006C5F7B"/>
    <w:rsid w:val="006E656C"/>
    <w:rsid w:val="00701C60"/>
    <w:rsid w:val="00714974"/>
    <w:rsid w:val="007379CE"/>
    <w:rsid w:val="007531F3"/>
    <w:rsid w:val="00780D5D"/>
    <w:rsid w:val="007F0743"/>
    <w:rsid w:val="007F1DDE"/>
    <w:rsid w:val="0085297F"/>
    <w:rsid w:val="00866518"/>
    <w:rsid w:val="00866A95"/>
    <w:rsid w:val="00882D93"/>
    <w:rsid w:val="00887B69"/>
    <w:rsid w:val="008C3F26"/>
    <w:rsid w:val="008F0F37"/>
    <w:rsid w:val="008F770B"/>
    <w:rsid w:val="00922C91"/>
    <w:rsid w:val="009300CB"/>
    <w:rsid w:val="0093773D"/>
    <w:rsid w:val="00942DDF"/>
    <w:rsid w:val="0096467F"/>
    <w:rsid w:val="009840E0"/>
    <w:rsid w:val="00986A49"/>
    <w:rsid w:val="009A1690"/>
    <w:rsid w:val="009A2352"/>
    <w:rsid w:val="009C00CC"/>
    <w:rsid w:val="009C610B"/>
    <w:rsid w:val="009D0242"/>
    <w:rsid w:val="009E744C"/>
    <w:rsid w:val="009F08FE"/>
    <w:rsid w:val="009F6269"/>
    <w:rsid w:val="00A02BA3"/>
    <w:rsid w:val="00A31131"/>
    <w:rsid w:val="00A75B75"/>
    <w:rsid w:val="00AA0B55"/>
    <w:rsid w:val="00AB4E96"/>
    <w:rsid w:val="00AD1953"/>
    <w:rsid w:val="00AD55CD"/>
    <w:rsid w:val="00AD6F38"/>
    <w:rsid w:val="00B0295E"/>
    <w:rsid w:val="00B1458E"/>
    <w:rsid w:val="00B341EA"/>
    <w:rsid w:val="00B50E7D"/>
    <w:rsid w:val="00B85119"/>
    <w:rsid w:val="00BA1B6B"/>
    <w:rsid w:val="00BC140E"/>
    <w:rsid w:val="00C63449"/>
    <w:rsid w:val="00C86CCD"/>
    <w:rsid w:val="00CA50E2"/>
    <w:rsid w:val="00CC2BD4"/>
    <w:rsid w:val="00CD4E4D"/>
    <w:rsid w:val="00D2699B"/>
    <w:rsid w:val="00D40C9E"/>
    <w:rsid w:val="00D47BB6"/>
    <w:rsid w:val="00D525AB"/>
    <w:rsid w:val="00D93EE4"/>
    <w:rsid w:val="00D94FFD"/>
    <w:rsid w:val="00E02E45"/>
    <w:rsid w:val="00E03E8E"/>
    <w:rsid w:val="00E07309"/>
    <w:rsid w:val="00E237CA"/>
    <w:rsid w:val="00EB7AFC"/>
    <w:rsid w:val="00ED3275"/>
    <w:rsid w:val="00EE4B59"/>
    <w:rsid w:val="00EF53F5"/>
    <w:rsid w:val="00F25898"/>
    <w:rsid w:val="00F330C2"/>
    <w:rsid w:val="00F4263B"/>
    <w:rsid w:val="00F623BD"/>
    <w:rsid w:val="00F67BFB"/>
    <w:rsid w:val="00F74ECF"/>
    <w:rsid w:val="00F80275"/>
    <w:rsid w:val="00FA32AC"/>
    <w:rsid w:val="00FC353E"/>
    <w:rsid w:val="00FF1519"/>
    <w:rsid w:val="01327F8C"/>
    <w:rsid w:val="01C06C11"/>
    <w:rsid w:val="03755845"/>
    <w:rsid w:val="04A6557B"/>
    <w:rsid w:val="053F2CC1"/>
    <w:rsid w:val="07350A4E"/>
    <w:rsid w:val="07EA44D5"/>
    <w:rsid w:val="080D5AF2"/>
    <w:rsid w:val="08DA2E5C"/>
    <w:rsid w:val="094B22F5"/>
    <w:rsid w:val="09A8038F"/>
    <w:rsid w:val="0BD15B9D"/>
    <w:rsid w:val="0E363D44"/>
    <w:rsid w:val="108B5994"/>
    <w:rsid w:val="112030B9"/>
    <w:rsid w:val="1152006F"/>
    <w:rsid w:val="11862F04"/>
    <w:rsid w:val="11B61FC7"/>
    <w:rsid w:val="12630E92"/>
    <w:rsid w:val="13E45016"/>
    <w:rsid w:val="13FE6110"/>
    <w:rsid w:val="14247CC4"/>
    <w:rsid w:val="142B2150"/>
    <w:rsid w:val="14F44C62"/>
    <w:rsid w:val="15495A3B"/>
    <w:rsid w:val="156572E5"/>
    <w:rsid w:val="174B19C4"/>
    <w:rsid w:val="18F875E8"/>
    <w:rsid w:val="1910795B"/>
    <w:rsid w:val="1B864981"/>
    <w:rsid w:val="1CED7FCE"/>
    <w:rsid w:val="1D6E2128"/>
    <w:rsid w:val="1D836B92"/>
    <w:rsid w:val="1DF36064"/>
    <w:rsid w:val="1E5B1A34"/>
    <w:rsid w:val="1EAA3D6E"/>
    <w:rsid w:val="1F4E561E"/>
    <w:rsid w:val="24DD4852"/>
    <w:rsid w:val="25171C57"/>
    <w:rsid w:val="274E685B"/>
    <w:rsid w:val="27E07154"/>
    <w:rsid w:val="292F217B"/>
    <w:rsid w:val="29A81D09"/>
    <w:rsid w:val="2B0C5865"/>
    <w:rsid w:val="2BB47B7C"/>
    <w:rsid w:val="2CCB09F8"/>
    <w:rsid w:val="2DBC1B76"/>
    <w:rsid w:val="2E651820"/>
    <w:rsid w:val="2EEA0266"/>
    <w:rsid w:val="2F10057C"/>
    <w:rsid w:val="2F7E48D0"/>
    <w:rsid w:val="2FB03986"/>
    <w:rsid w:val="30314D3D"/>
    <w:rsid w:val="303876E4"/>
    <w:rsid w:val="317706C8"/>
    <w:rsid w:val="31DA78AC"/>
    <w:rsid w:val="32406231"/>
    <w:rsid w:val="324A4FDA"/>
    <w:rsid w:val="34EC2CAE"/>
    <w:rsid w:val="351F49A1"/>
    <w:rsid w:val="38232A73"/>
    <w:rsid w:val="39381597"/>
    <w:rsid w:val="3A7645C6"/>
    <w:rsid w:val="3ABF0235"/>
    <w:rsid w:val="3B1E4399"/>
    <w:rsid w:val="3C3D2B5F"/>
    <w:rsid w:val="3DD90858"/>
    <w:rsid w:val="401C2D1C"/>
    <w:rsid w:val="407E0E38"/>
    <w:rsid w:val="41B65F61"/>
    <w:rsid w:val="41C57683"/>
    <w:rsid w:val="43197A1B"/>
    <w:rsid w:val="45C94E7D"/>
    <w:rsid w:val="45F91B48"/>
    <w:rsid w:val="46562AD5"/>
    <w:rsid w:val="46974B53"/>
    <w:rsid w:val="46F15C8D"/>
    <w:rsid w:val="47F21C01"/>
    <w:rsid w:val="48085FC3"/>
    <w:rsid w:val="48A6056F"/>
    <w:rsid w:val="49B45478"/>
    <w:rsid w:val="49FA4EA0"/>
    <w:rsid w:val="4C6343C0"/>
    <w:rsid w:val="4C886441"/>
    <w:rsid w:val="4CA86795"/>
    <w:rsid w:val="4D296B5B"/>
    <w:rsid w:val="4D5562C7"/>
    <w:rsid w:val="4D7D1FCE"/>
    <w:rsid w:val="4E8A611C"/>
    <w:rsid w:val="4FCB60FF"/>
    <w:rsid w:val="50893552"/>
    <w:rsid w:val="509724E4"/>
    <w:rsid w:val="50E35895"/>
    <w:rsid w:val="51593364"/>
    <w:rsid w:val="53D400CA"/>
    <w:rsid w:val="55406DFB"/>
    <w:rsid w:val="55B7591B"/>
    <w:rsid w:val="56D11A62"/>
    <w:rsid w:val="57352540"/>
    <w:rsid w:val="57580043"/>
    <w:rsid w:val="58607A08"/>
    <w:rsid w:val="58C73937"/>
    <w:rsid w:val="58F65E88"/>
    <w:rsid w:val="5A927557"/>
    <w:rsid w:val="5BFF4336"/>
    <w:rsid w:val="5D8D2F45"/>
    <w:rsid w:val="5E335848"/>
    <w:rsid w:val="5F401D10"/>
    <w:rsid w:val="5FD44A6F"/>
    <w:rsid w:val="5FF357B4"/>
    <w:rsid w:val="60D92857"/>
    <w:rsid w:val="60EB0AA0"/>
    <w:rsid w:val="627346B5"/>
    <w:rsid w:val="62B13FD8"/>
    <w:rsid w:val="630B2FA5"/>
    <w:rsid w:val="633073C4"/>
    <w:rsid w:val="641E1128"/>
    <w:rsid w:val="662F0265"/>
    <w:rsid w:val="666311E9"/>
    <w:rsid w:val="6A6F480C"/>
    <w:rsid w:val="6B961B05"/>
    <w:rsid w:val="6CF05EA6"/>
    <w:rsid w:val="6D6062EB"/>
    <w:rsid w:val="6F5748DB"/>
    <w:rsid w:val="6F997109"/>
    <w:rsid w:val="6FE105E3"/>
    <w:rsid w:val="718B2C97"/>
    <w:rsid w:val="724F3478"/>
    <w:rsid w:val="744F5C29"/>
    <w:rsid w:val="75037876"/>
    <w:rsid w:val="754F481F"/>
    <w:rsid w:val="75A8662B"/>
    <w:rsid w:val="764439E7"/>
    <w:rsid w:val="77100171"/>
    <w:rsid w:val="79EE3D0E"/>
    <w:rsid w:val="7A207546"/>
    <w:rsid w:val="7ACF798E"/>
    <w:rsid w:val="7C2B0B97"/>
    <w:rsid w:val="7D0D4D83"/>
    <w:rsid w:val="7E463A98"/>
    <w:rsid w:val="7E886AFE"/>
    <w:rsid w:val="7EAC4970"/>
    <w:rsid w:val="7F130841"/>
    <w:rsid w:val="7F232EA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2"/>
    <w:unhideWhenUsed/>
    <w:qFormat/>
    <w:uiPriority w:val="99"/>
    <w:pPr>
      <w:spacing w:line="500" w:lineRule="exact"/>
      <w:jc w:val="center"/>
    </w:pPr>
    <w:rPr>
      <w:rFonts w:hint="eastAsia" w:ascii="Times New Roman" w:hAnsi="Times New Roman" w:eastAsia="仿宋_GB2312"/>
      <w:szCs w:val="21"/>
    </w:rPr>
  </w:style>
  <w:style w:type="paragraph" w:styleId="3">
    <w:name w:val="Title"/>
    <w:basedOn w:val="1"/>
    <w:next w:val="1"/>
    <w:link w:val="15"/>
    <w:qFormat/>
    <w:uiPriority w:val="10"/>
    <w:pPr>
      <w:spacing w:before="240" w:after="60"/>
      <w:jc w:val="center"/>
      <w:outlineLvl w:val="0"/>
    </w:pPr>
    <w:rPr>
      <w:rFonts w:asciiTheme="majorHAnsi" w:hAnsiTheme="majorHAnsi" w:cstheme="majorBidi"/>
      <w:b/>
      <w:bCs/>
      <w:sz w:val="32"/>
      <w:szCs w:val="32"/>
    </w:rPr>
  </w:style>
  <w:style w:type="paragraph" w:styleId="4">
    <w:name w:val="Balloon Text"/>
    <w:basedOn w:val="1"/>
    <w:link w:val="19"/>
    <w:unhideWhenUsed/>
    <w:qFormat/>
    <w:uiPriority w:val="99"/>
    <w:rPr>
      <w:sz w:val="18"/>
      <w:szCs w:val="18"/>
    </w:rPr>
  </w:style>
  <w:style w:type="paragraph" w:styleId="5">
    <w:name w:val="footer"/>
    <w:basedOn w:val="1"/>
    <w:link w:val="18"/>
    <w:unhideWhenUsed/>
    <w:qFormat/>
    <w:uiPriority w:val="0"/>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2">
    <w:name w:val="正文文本 Char"/>
    <w:basedOn w:val="8"/>
    <w:link w:val="2"/>
    <w:qFormat/>
    <w:uiPriority w:val="99"/>
    <w:rPr>
      <w:rFonts w:ascii="Times New Roman" w:hAnsi="Times New Roman" w:eastAsia="仿宋_GB2312" w:cs="Times New Roman"/>
      <w:szCs w:val="21"/>
    </w:rPr>
  </w:style>
  <w:style w:type="paragraph" w:customStyle="1" w:styleId="13">
    <w:name w:val="列出段落1"/>
    <w:basedOn w:val="1"/>
    <w:qFormat/>
    <w:uiPriority w:val="34"/>
    <w:pPr>
      <w:ind w:firstLine="420" w:firstLineChars="200"/>
    </w:pPr>
  </w:style>
  <w:style w:type="paragraph" w:customStyle="1" w:styleId="14">
    <w:name w:val="列出段落2"/>
    <w:basedOn w:val="1"/>
    <w:unhideWhenUsed/>
    <w:qFormat/>
    <w:uiPriority w:val="99"/>
    <w:pPr>
      <w:ind w:firstLine="420" w:firstLineChars="200"/>
    </w:pPr>
  </w:style>
  <w:style w:type="character" w:customStyle="1" w:styleId="15">
    <w:name w:val="标题 Char"/>
    <w:basedOn w:val="8"/>
    <w:link w:val="3"/>
    <w:qFormat/>
    <w:uiPriority w:val="10"/>
    <w:rPr>
      <w:rFonts w:eastAsia="宋体" w:asciiTheme="majorHAnsi" w:hAnsiTheme="majorHAnsi" w:cstheme="majorBidi"/>
      <w:b/>
      <w:bCs/>
      <w:sz w:val="32"/>
      <w:szCs w:val="32"/>
    </w:rPr>
  </w:style>
  <w:style w:type="paragraph" w:customStyle="1" w:styleId="16">
    <w:name w:val="列出段落3"/>
    <w:basedOn w:val="1"/>
    <w:unhideWhenUsed/>
    <w:qFormat/>
    <w:uiPriority w:val="99"/>
    <w:pPr>
      <w:ind w:firstLine="420" w:firstLineChars="200"/>
    </w:pPr>
  </w:style>
  <w:style w:type="character" w:customStyle="1" w:styleId="17">
    <w:name w:val="页眉 Char"/>
    <w:basedOn w:val="8"/>
    <w:link w:val="6"/>
    <w:semiHidden/>
    <w:qFormat/>
    <w:uiPriority w:val="99"/>
    <w:rPr>
      <w:rFonts w:ascii="Calibri" w:hAnsi="Calibri" w:eastAsia="宋体" w:cs="Times New Roman"/>
      <w:sz w:val="18"/>
      <w:szCs w:val="18"/>
    </w:rPr>
  </w:style>
  <w:style w:type="character" w:customStyle="1" w:styleId="18">
    <w:name w:val="页脚 Char"/>
    <w:basedOn w:val="8"/>
    <w:link w:val="5"/>
    <w:qFormat/>
    <w:uiPriority w:val="0"/>
    <w:rPr>
      <w:rFonts w:ascii="Calibri" w:hAnsi="Calibri" w:eastAsia="宋体" w:cs="Times New Roman"/>
      <w:sz w:val="18"/>
      <w:szCs w:val="18"/>
    </w:rPr>
  </w:style>
  <w:style w:type="character" w:customStyle="1" w:styleId="19">
    <w:name w:val="批注框文本 Char"/>
    <w:basedOn w:val="8"/>
    <w:link w:val="4"/>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7636A-AEDD-4BF7-BD8E-319F51169CEF}">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1375</Words>
  <Characters>7839</Characters>
  <Lines>65</Lines>
  <Paragraphs>18</Paragraphs>
  <ScaleCrop>false</ScaleCrop>
  <LinksUpToDate>false</LinksUpToDate>
  <CharactersWithSpaces>9196</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2022-07-26T07:27:00Z</dcterms:created>
  <dc:creator>Administrator</dc:creator>
  <cp:lastModifiedBy>Administrator</cp:lastModifiedBy>
  <cp:lastPrinted>2022-08-02T02:40:00Z</cp:lastPrinted>
  <dcterms:modified xsi:type="dcterms:W3CDTF">2022-08-02T03:12:25Z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