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21"/>
          <w:szCs w:val="21"/>
          <w:lang w:val="en-US" w:eastAsia="zh-CN"/>
        </w:rPr>
      </w:pPr>
    </w:p>
    <w:p>
      <w:pPr>
        <w:jc w:val="both"/>
        <w:rPr>
          <w:rFonts w:hint="eastAsia" w:ascii="仿宋_GB2312" w:hAnsi="仿宋_GB2312" w:eastAsia="仿宋_GB2312" w:cs="仿宋_GB2312"/>
          <w:sz w:val="21"/>
          <w:szCs w:val="21"/>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肇建协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2021〕3号</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关于转发住建部发布《住房和城乡建设部关于印发建设工程企业资质管理制度改革方案的通知》的通知</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现将住建部发布的《住房和城乡建设部关于印发建设工程企业资质管理制度改革方案的通知（建市〔2020〕94号）》的文件转发给你们，</w:t>
      </w:r>
      <w:r>
        <w:rPr>
          <w:rFonts w:hint="eastAsia" w:ascii="仿宋_GB2312" w:hAnsi="仿宋_GB2312" w:eastAsia="仿宋_GB2312" w:cs="仿宋_GB2312"/>
          <w:sz w:val="32"/>
          <w:szCs w:val="32"/>
        </w:rPr>
        <w:t>请认真贯彻落实，进一步放宽建筑市场准入限制，优化审批服务，激发市场主体活力。同时，坚持放管结合，加大事中事后监管力度，切实保障建设工程质量安全。</w:t>
      </w:r>
      <w:r>
        <w:rPr>
          <w:rFonts w:hint="eastAsia" w:ascii="仿宋_GB2312" w:hAnsi="仿宋_GB2312" w:eastAsia="仿宋_GB2312" w:cs="仿宋_GB2312"/>
          <w:sz w:val="32"/>
          <w:szCs w:val="32"/>
          <w:lang w:eastAsia="zh-CN"/>
        </w:rPr>
        <w:t>请结合建设工程企业资质管理制度改革方案要求及企业自身情况，做好</w:t>
      </w:r>
      <w:r>
        <w:rPr>
          <w:rFonts w:hint="eastAsia" w:ascii="仿宋_GB2312" w:hAnsi="仿宋_GB2312" w:eastAsia="仿宋_GB2312" w:cs="仿宋_GB2312"/>
          <w:sz w:val="32"/>
          <w:szCs w:val="32"/>
        </w:rPr>
        <w:t>资质标准修订和换证工作，确保平稳过渡。</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1.《住房和城乡建设部关于印发建设工程企业资质管理制度改革方案的通知》</w:t>
      </w:r>
    </w:p>
    <w:p>
      <w:pPr>
        <w:numPr>
          <w:numId w:val="0"/>
        </w:num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建设工程企业资质改革措施表</w:t>
      </w:r>
    </w:p>
    <w:p>
      <w:pPr>
        <w:numPr>
          <w:ilvl w:val="0"/>
          <w:numId w:val="0"/>
        </w:num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改革后建设工程企业资质分类分级表</w:t>
      </w:r>
      <w:bookmarkStart w:id="0" w:name="_GoBack"/>
      <w:bookmarkEnd w:id="0"/>
    </w:p>
    <w:p>
      <w:pPr>
        <w:numPr>
          <w:ilvl w:val="0"/>
          <w:numId w:val="0"/>
        </w:numPr>
        <w:ind w:firstLine="960" w:firstLineChars="300"/>
        <w:rPr>
          <w:rFonts w:hint="eastAsia" w:ascii="仿宋_GB2312" w:hAnsi="仿宋_GB2312" w:eastAsia="仿宋_GB2312" w:cs="仿宋_GB2312"/>
          <w:sz w:val="32"/>
          <w:szCs w:val="32"/>
        </w:rPr>
      </w:pPr>
    </w:p>
    <w:p>
      <w:pPr>
        <w:numPr>
          <w:ilvl w:val="0"/>
          <w:numId w:val="0"/>
        </w:numPr>
        <w:ind w:left="960" w:leftChars="0" w:firstLine="4480" w:firstLineChars="14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肇庆市建筑业协会</w:t>
      </w:r>
    </w:p>
    <w:p>
      <w:pPr>
        <w:numPr>
          <w:ilvl w:val="0"/>
          <w:numId w:val="0"/>
        </w:numPr>
        <w:ind w:left="960" w:leftChars="0"/>
        <w:jc w:val="center"/>
        <w:rPr>
          <w:rFonts w:hint="default" w:ascii="微软雅黑" w:hAnsi="微软雅黑" w:eastAsia="微软雅黑" w:cs="微软雅黑"/>
          <w:lang w:val="en-US" w:eastAsia="zh-CN"/>
        </w:rPr>
      </w:pPr>
      <w:r>
        <w:rPr>
          <w:rFonts w:hint="eastAsia" w:ascii="仿宋_GB2312" w:hAnsi="仿宋_GB2312" w:eastAsia="仿宋_GB2312" w:cs="仿宋_GB2312"/>
          <w:sz w:val="32"/>
          <w:szCs w:val="32"/>
          <w:lang w:val="en-US" w:eastAsia="zh-CN"/>
        </w:rPr>
        <w:t xml:space="preserve">                   2021年1月4日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B1BB6"/>
    <w:rsid w:val="5043630A"/>
    <w:rsid w:val="6F1D1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shirley1417078021</cp:lastModifiedBy>
  <dcterms:modified xsi:type="dcterms:W3CDTF">2021-01-04T08:34:35Z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